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19.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pStyle w:val="Textkrper"/>
        <w:jc w:val="center"/>
        <w:rPr>
          <w:b/>
          <w:sz w:val="22"/>
          <w:szCs w:val="22"/>
        </w:rPr>
      </w:pPr>
      <w:r>
        <w:rPr>
          <w:b/>
          <w:sz w:val="22"/>
          <w:szCs w:val="22"/>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20.04.2022</w:t>
      </w:r>
    </w:p>
    <w:p>
      <w:pPr>
        <w:jc w:val="center"/>
        <w:rPr>
          <w:b/>
        </w:rPr>
      </w:pP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 1 Satz 1, § 29 Abs. 1 und 2, § 30 Abs. 1 Satz 2 des Infektionsschutzgesetzes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Listenabsatz"/>
        <w:numPr>
          <w:ilvl w:val="0"/>
          <w:numId w:val="2"/>
        </w:numPr>
        <w:tabs>
          <w:tab w:val="left" w:pos="682"/>
          <w:tab w:val="left" w:pos="683"/>
        </w:tabs>
        <w:ind w:left="0" w:hanging="566"/>
        <w:jc w:val="both"/>
        <w:rPr>
          <w:b/>
        </w:rPr>
      </w:pPr>
      <w:bookmarkStart w:id="2" w:name="1._Begriffsbestimmung"/>
      <w:bookmarkEnd w:id="2"/>
      <w:r>
        <w:rPr>
          <w:b/>
        </w:rP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nach den jeweils geltenden Kriterien des Robert Koch-Instituts hatten,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positiv getestet haben (sog. Selbsttest), der ohne fachkundige Aufsicht durchgeführt wurde, gelten bis zum Vorliegen des Ergebnisses des PCR-Tests (molekularbiologische Untersuchung auf das Vorhandensein von </w:t>
      </w:r>
      <w:proofErr w:type="spellStart"/>
      <w:r>
        <w:t>Coronavirus</w:t>
      </w:r>
      <w:proofErr w:type="spellEnd"/>
      <w:r>
        <w:t xml:space="preserve"> SARS-CoV-2)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 xml:space="preserve">1.5    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w:t>
      </w:r>
      <w:r>
        <w:lastRenderedPageBreak/>
        <w:t xml:space="preserve">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t xml:space="preserve">1.6 </w:t>
      </w:r>
      <w:r>
        <w:tab/>
        <w:t>Die Regelungen dieser Allgemeinverfügung gelten zudem für betroffene Personen, die nicht ihren gewöhnlichen Aufenthalt in der Kreisfreien Stadt Chemnitz</w:t>
      </w:r>
      <w:r>
        <w:rPr>
          <w:b/>
          <w:i/>
        </w:rPr>
        <w:t xml:space="preserve"> </w:t>
      </w:r>
      <w:r>
        <w:t>haben oder zuletzt hatten, wenn der Anlass für die Amtshandlung in der Kreisfreien Stadt Chemnitz hervortritt. In diesen Fällen wird das örtlich zuständige Gesundheitsamt unverzüglich unterrichtet. Die Regelungen dieser Allgemeinverfügung gelten so lange fort, bis das örtlich zuständige Gesundheitsamt etwas Anderes entscheidet.</w:t>
      </w:r>
    </w:p>
    <w:p>
      <w:pPr>
        <w:tabs>
          <w:tab w:val="left" w:pos="682"/>
          <w:tab w:val="left" w:pos="683"/>
        </w:tabs>
        <w:ind w:hanging="567"/>
        <w:jc w:val="both"/>
      </w:pPr>
    </w:p>
    <w:p>
      <w:pPr>
        <w:pStyle w:val="Textkrper"/>
        <w:ind w:hanging="567"/>
        <w:jc w:val="both"/>
        <w:rPr>
          <w:sz w:val="22"/>
          <w:szCs w:val="22"/>
        </w:rPr>
      </w:pPr>
    </w:p>
    <w:p>
      <w:pPr>
        <w:pStyle w:val="berschrift1"/>
        <w:numPr>
          <w:ilvl w:val="0"/>
          <w:numId w:val="2"/>
        </w:numPr>
        <w:tabs>
          <w:tab w:val="left" w:pos="682"/>
          <w:tab w:val="left" w:pos="683"/>
        </w:tabs>
        <w:ind w:left="0" w:hanging="566"/>
        <w:jc w:val="both"/>
        <w:rPr>
          <w:sz w:val="22"/>
          <w:szCs w:val="22"/>
        </w:rPr>
      </w:pPr>
      <w:bookmarkStart w:id="3" w:name="2._Vorschriften_zur_Isolation"/>
      <w:bookmarkEnd w:id="3"/>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PCR-Testergebnisses gilt die Person als positiv getestete Person. Verdachtspersonen sind verpflichtet, ihre </w:t>
      </w:r>
      <w:proofErr w:type="spellStart"/>
      <w:r>
        <w:t>Hausstandsangehörigen</w:t>
      </w:r>
      <w:proofErr w:type="spellEnd"/>
      <w:r>
        <w:t xml:space="preserve"> über den Verdacht auf eine Infektion zu informieren und auf das Gebot zur Kontaktreduzierung hinzuweisen.</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Hierzu bedarf es keiner gesonderten Anordnung oder Mitteilung durch das Gesundheitsamt. Die Isolation gilt auf Grund dieser Allgemeinverfügung als angeordnet.</w:t>
      </w:r>
    </w:p>
    <w:p>
      <w:pPr>
        <w:pStyle w:val="Listenabsatz"/>
        <w:numPr>
          <w:ilvl w:val="0"/>
          <w:numId w:val="14"/>
        </w:numPr>
        <w:tabs>
          <w:tab w:val="left" w:pos="824"/>
        </w:tabs>
        <w:jc w:val="both"/>
      </w:pPr>
      <w:r>
        <w:t>im Falle der Testung mit einem Antigenschnelltest, einen PCR-Test durchführen zu lassen.</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pStyle w:val="Listenabsatz"/>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 bzw. diesen für etwaige Anträge auf Entschädigungen für Verdienstausfälle einzureichen. Der PCR-Testnachweis dient als Nachweis der Absonderung gegenüber Dritten.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w:t>
      </w:r>
      <w:r>
        <w:rPr>
          <w:sz w:val="22"/>
          <w:szCs w:val="22"/>
        </w:rPr>
        <w:lastRenderedPageBreak/>
        <w:t xml:space="preserve">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37"/>
        </w:numPr>
        <w:tabs>
          <w:tab w:val="left" w:pos="682"/>
          <w:tab w:val="left" w:pos="683"/>
        </w:tabs>
        <w:ind w:left="0" w:hanging="567"/>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Die testende Stelle informiert die Verdachtsperson und die getestete Person schriftlich oder elektronisch über die in 2.1.2 und 2.1.3 genannten Pflichten. Die Meldepflichten gemäß § 6 Abs. 1 Nr. 1 Buchst. t und § 7 Abs.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PCR-Testnachweis, auf den die Absonderung begründet ist, einsieht.</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37"/>
        </w:numPr>
        <w:tabs>
          <w:tab w:val="left" w:pos="682"/>
          <w:tab w:val="left" w:pos="683"/>
        </w:tabs>
        <w:ind w:left="0" w:hanging="566"/>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39"/>
        </w:numPr>
        <w:ind w:left="0" w:hanging="709"/>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680"/>
        <w:jc w:val="both"/>
      </w:pPr>
      <w:r>
        <w:t>4.2</w:t>
      </w:r>
      <w:r>
        <w:tab/>
        <w:t xml:space="preserve">Positiv getestete Personen haben ggf.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0"/>
        </w:numPr>
        <w:tabs>
          <w:tab w:val="left" w:pos="682"/>
          <w:tab w:val="left" w:pos="683"/>
        </w:tabs>
        <w:ind w:left="0" w:hanging="567"/>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w:t>
      </w:r>
      <w:r>
        <w:lastRenderedPageBreak/>
        <w:t xml:space="preserve">Einsatzdauer der abgesonderten Person unverzüglich zu informieren. </w:t>
      </w:r>
    </w:p>
    <w:p>
      <w:pPr>
        <w:pStyle w:val="Listenabsatz"/>
        <w:ind w:left="0" w:firstLine="0"/>
        <w:jc w:val="both"/>
      </w:pPr>
    </w:p>
    <w:p>
      <w:pPr>
        <w:pStyle w:val="Listenabsatz"/>
        <w:ind w:left="0" w:firstLine="0"/>
        <w:jc w:val="both"/>
      </w:pPr>
      <w:r>
        <w:t xml:space="preserve">Für die Wiederaufnahme der Tätigkeit müssen Personen, die aufgrund eines positiven Testergebnisses abgesondert wurden, 48 Stunden symptomfrei sein und einen negativen Testnachweis vorlegen. Dem Testnachweis muss ein frühestens am 5. Tag durchgeführter Test bei einem Leistungserbringer gemäß § 6 Absatz 1 der </w:t>
      </w:r>
      <w:proofErr w:type="spellStart"/>
      <w:r>
        <w:t>Coronavirus</w:t>
      </w:r>
      <w:proofErr w:type="spellEnd"/>
      <w:r>
        <w:t>-Testverordnung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kann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0"/>
        </w:numPr>
        <w:ind w:left="0" w:hanging="567"/>
        <w:jc w:val="both"/>
        <w:rPr>
          <w:b/>
        </w:rPr>
      </w:pPr>
      <w:bookmarkStart w:id="7" w:name="6._Beendigung_der_Maßnahmen"/>
      <w:bookmarkEnd w:id="7"/>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Das negative Testergebnis ist auf Verlangen des Gesundheitsamtes schriftlich oder elektronisch zu bestätigen. Ist das Testergebnis der Verdachtsperson positiv, gelten die Regelungen zur positiv getesteten Person (6.2). </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5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erreicht ist (volle Tage).</w:t>
      </w:r>
    </w:p>
    <w:p>
      <w:pPr>
        <w:pStyle w:val="Listenabsatz"/>
        <w:tabs>
          <w:tab w:val="left" w:pos="682"/>
          <w:tab w:val="left" w:pos="683"/>
        </w:tabs>
        <w:ind w:left="0" w:firstLine="0"/>
        <w:jc w:val="both"/>
      </w:pPr>
    </w:p>
    <w:p>
      <w:pPr>
        <w:jc w:val="both"/>
        <w:rPr>
          <w:b/>
          <w:i/>
        </w:rPr>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 insbesondere in geschlossenen Räumen – eine FFP2-Maske zu tragen und unnötige Kontakte zu anderen Personen zu vermeiden.</w:t>
      </w:r>
    </w:p>
    <w:p>
      <w:pPr>
        <w:pStyle w:val="Listenabsatz"/>
        <w:ind w:left="0" w:firstLine="0"/>
        <w:jc w:val="both"/>
      </w:pPr>
    </w:p>
    <w:p>
      <w:pPr>
        <w:pStyle w:val="Listenabsatz"/>
        <w:ind w:left="0" w:firstLine="0"/>
        <w:jc w:val="both"/>
      </w:pPr>
      <w:r>
        <w:t xml:space="preserve">Bei Personen, deren positiver Antigenschnelltest nicht durch den im Anschluss durchgeführten PCR-Test bestätigt wird, endet die Absonderung sofort mit dem Vorliegen des negativen 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 Allgemeinverfügung aufgrund der 18. Allgemeinverfügung als enge Kontaktpersonen in Absonderung befinden, endet die Absonderungspflicht mit dem Inkrafttreten dieser Allgemeinverfügung.</w:t>
      </w:r>
    </w:p>
    <w:p>
      <w:pPr>
        <w:widowControl/>
        <w:adjustRightInd w:val="0"/>
        <w:ind w:hanging="567"/>
        <w:jc w:val="both"/>
        <w:rPr>
          <w:rFonts w:eastAsia="Calibri"/>
          <w:lang w:eastAsia="en-US" w:bidi="ar-SA"/>
        </w:rPr>
      </w:pPr>
    </w:p>
    <w:p>
      <w:pPr>
        <w:widowControl/>
        <w:adjustRightInd w:val="0"/>
        <w:jc w:val="both"/>
        <w:rPr>
          <w:rFonts w:eastAsia="Calibri"/>
          <w:lang w:eastAsia="en-US" w:bidi="ar-SA"/>
        </w:rPr>
      </w:pPr>
      <w:r>
        <w:rPr>
          <w:rFonts w:eastAsia="Calibri"/>
          <w:lang w:eastAsia="en-US" w:bidi="ar-SA"/>
        </w:rPr>
        <w:t>Für Personen, die sich bei Inkrafttreten dieser Allgemeinverfügung aufgrund der 18. Allgemeinverfügung als positiv getestete Personen in Absonderung befinden, richtet sich die Beendigung der Isolation nach Nr. 6.2 und Wiederaufnahme der Tätigkeit nach 5.5 dieser Allgemeinverfügung.</w:t>
      </w:r>
    </w:p>
    <w:p>
      <w:pPr>
        <w:pStyle w:val="Listenabsatz"/>
        <w:ind w:left="0" w:hanging="567"/>
        <w:jc w:val="both"/>
      </w:pPr>
    </w:p>
    <w:p>
      <w:pPr>
        <w:pStyle w:val="Textkrper"/>
        <w:jc w:val="both"/>
      </w:pPr>
    </w:p>
    <w:p>
      <w:pPr>
        <w:pStyle w:val="berschrift1"/>
        <w:tabs>
          <w:tab w:val="left" w:pos="682"/>
          <w:tab w:val="left" w:pos="683"/>
        </w:tabs>
        <w:ind w:left="0" w:hanging="567"/>
        <w:jc w:val="both"/>
        <w:rPr>
          <w:sz w:val="22"/>
          <w:szCs w:val="22"/>
        </w:rPr>
      </w:pPr>
      <w:bookmarkStart w:id="8" w:name="7._Ordnungswidrigkeit"/>
      <w:bookmarkEnd w:id="8"/>
      <w:r>
        <w:rPr>
          <w:sz w:val="22"/>
          <w:szCs w:val="22"/>
        </w:rPr>
        <w:t xml:space="preserve">7. </w:t>
      </w:r>
      <w:r>
        <w:rPr>
          <w:sz w:val="22"/>
          <w:szCs w:val="22"/>
        </w:rPr>
        <w:tab/>
        <w:t>Zuwiderhandlungen</w:t>
      </w:r>
    </w:p>
    <w:p>
      <w:pPr>
        <w:pStyle w:val="Textkrper"/>
        <w:jc w:val="both"/>
        <w:rPr>
          <w:b/>
          <w:sz w:val="22"/>
          <w:szCs w:val="22"/>
        </w:rPr>
      </w:pPr>
    </w:p>
    <w:p>
      <w:pPr>
        <w:pStyle w:val="Textkrper"/>
        <w:jc w:val="both"/>
        <w:rPr>
          <w:sz w:val="22"/>
          <w:szCs w:val="22"/>
        </w:rPr>
      </w:pPr>
      <w:r>
        <w:rPr>
          <w:sz w:val="22"/>
          <w:szCs w:val="22"/>
        </w:rPr>
        <w:t xml:space="preserve">Eine Zuwiderhandlung gegen diese Allgemeinverfügung kann nach § 73 Abs. 1a Nr. 6 </w:t>
      </w:r>
      <w:proofErr w:type="spellStart"/>
      <w:r>
        <w:rPr>
          <w:sz w:val="22"/>
          <w:szCs w:val="22"/>
        </w:rPr>
        <w:t>i.V.m</w:t>
      </w:r>
      <w:proofErr w:type="spellEnd"/>
      <w:r>
        <w:rPr>
          <w:sz w:val="22"/>
          <w:szCs w:val="22"/>
        </w:rPr>
        <w:t>. Abs.2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tabs>
          <w:tab w:val="left" w:pos="682"/>
          <w:tab w:val="left" w:pos="683"/>
        </w:tabs>
        <w:ind w:left="0" w:hanging="567"/>
        <w:jc w:val="both"/>
        <w:rPr>
          <w:sz w:val="22"/>
          <w:szCs w:val="22"/>
        </w:rPr>
      </w:pPr>
      <w:bookmarkStart w:id="9" w:name="8._Sofortige_Vollziehbarkeit,_Inkrafttre"/>
      <w:bookmarkEnd w:id="9"/>
      <w:r>
        <w:rPr>
          <w:sz w:val="22"/>
          <w:szCs w:val="22"/>
        </w:rPr>
        <w:t xml:space="preserve">8. </w:t>
      </w:r>
      <w:r>
        <w:rPr>
          <w:sz w:val="22"/>
          <w:szCs w:val="22"/>
        </w:rPr>
        <w:tab/>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25. April 2022</w:t>
      </w:r>
      <w:r>
        <w:rPr>
          <w:i/>
        </w:rPr>
        <w:t xml:space="preserve"> </w:t>
      </w:r>
      <w:r>
        <w:t xml:space="preserve">in Kraft und mit Ablauf des </w:t>
      </w:r>
      <w:r>
        <w:rPr>
          <w:b/>
        </w:rPr>
        <w:t>29. Mai 2022</w:t>
      </w:r>
      <w:r>
        <w:t xml:space="preserve"> außer Kraft. </w:t>
      </w:r>
    </w:p>
    <w:p>
      <w:pPr>
        <w:pStyle w:val="Listenabsatz"/>
        <w:tabs>
          <w:tab w:val="left" w:pos="682"/>
          <w:tab w:val="left" w:pos="683"/>
        </w:tabs>
        <w:ind w:left="0" w:firstLine="0"/>
        <w:jc w:val="both"/>
      </w:pPr>
      <w:bookmarkStart w:id="10" w:name="_GoBack"/>
      <w:bookmarkEnd w:id="10"/>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color w:val="0000FF"/>
            <w:u w:val="single"/>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r>
        <w:t>Bei SARS-CoV-2 handelt es sich um einen Krankheitserreger im Sinn des § 2 Nr. 1 IfSG, der sich in kurzer Zeit weltweit verbreitet. Es war zu beobachten, dass es auch in der Kreisfreien Stadt Chemnitz</w:t>
      </w:r>
      <w:r>
        <w:rPr>
          <w:b/>
          <w:i/>
        </w:rPr>
        <w:t xml:space="preserve"> </w:t>
      </w:r>
      <w:r>
        <w:t xml:space="preserve">zu einer raschen Verbreitung der Infektion in der Bevölkerung gekommen ist. Insbesondere bei </w:t>
      </w:r>
      <w:proofErr w:type="spellStart"/>
      <w:r>
        <w:t>ungeimpften</w:t>
      </w:r>
      <w:proofErr w:type="spellEnd"/>
      <w:r>
        <w:t xml:space="preserve"> älteren Menschen und Vorerkrankten besteht ein sehr hohes Erkrankungs- und Sterberisiko. Zunehmend erkranken auch jüngere Menschen schwer.</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erheblichen Folgen für Leben und Gesundheit insb. des </w:t>
      </w:r>
      <w:proofErr w:type="spellStart"/>
      <w:r>
        <w:t>ungeimpften</w:t>
      </w:r>
      <w:proofErr w:type="spellEnd"/>
      <w:r>
        <w:t xml:space="preserve"> Teils der Bevölkerung, einer möglichen Überforderung des Gesundheitssystems und der Entwicklung von Virusvarianten unvermindert fort.</w:t>
      </w:r>
    </w:p>
    <w:p>
      <w:pPr>
        <w:jc w:val="both"/>
      </w:pPr>
      <w:r>
        <w:t xml:space="preserve">Nach der Risikobewertung des Robert Koch-Instituts handelt es sich weltweit und in Deutschland nach wie vor um eine sehr dynamische und ernst zu nehmende Situation. </w:t>
      </w:r>
      <w:r>
        <w:lastRenderedPageBreak/>
        <w:t xml:space="preserve">Aufgrund der rasanten Verbreitung der </w:t>
      </w:r>
      <w:proofErr w:type="spellStart"/>
      <w:r>
        <w:t>Omikronvariante</w:t>
      </w:r>
      <w:proofErr w:type="spellEnd"/>
      <w:r>
        <w:t xml:space="preserve">, die sich nach derzeitigem Kenntnisstand deutlich schneller und effektiver verbreitet als die bisherigen Virusvarianten.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r>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w:t>
      </w:r>
      <w:r>
        <w:lastRenderedPageBreak/>
        <w:t>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Die Absonderung von engen Kontaktpersonen kann angeordnet werden.</w:t>
      </w:r>
    </w:p>
    <w:p>
      <w:pPr>
        <w:jc w:val="both"/>
      </w:pPr>
    </w:p>
    <w:p>
      <w:pPr>
        <w:jc w:val="both"/>
      </w:pPr>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mittels eines Antigentests positiv getestet wurden, müssen eine bestätigende Testung mit einem </w:t>
      </w:r>
      <w:proofErr w:type="spellStart"/>
      <w:r>
        <w:t>Nukleinsäurenachweis</w:t>
      </w:r>
      <w:proofErr w:type="spellEnd"/>
      <w:r>
        <w:t xml:space="preserve"> (z. B. PCR-Test) durchführen, um potenzielle falsch-positive Testergebnisse auszuschließen. Wenn der PCR-Test negativ ausfällt, endet die Pflicht zur Absonderung für die Person. Der Nachweis über das negative Testergebnis ist für einen Zeitraum von acht Wochen aufzubewahren und auf Verlangen vorzuzeigen.</w:t>
      </w:r>
    </w:p>
    <w:p>
      <w:pPr>
        <w:jc w:val="both"/>
      </w:pPr>
      <w:r>
        <w:t xml:space="preserve">Die positiv getestete Person ist angehalten, den PCR-Testnachweis aufzubewahren. Bei Bedarf kann auf der Grundlage von § 22 Absatz 6 des Infektionsschutzgesetzes in Apotheken ein COVID-19-Genesenenzertifikat erstellt werden. Der PCR-Testnachweis muss bei der Beantragung von Entschädigungsleistungen aufgrund von Verdienstausfall eingereicht werden. Personen, die die 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Zur digitalen Bearbeitung von Infektionsmeldungen, ist die entsprechende Übermittlung der Meldungen notwendig. Zudem bedarf es der Mitteilung der Mobiltelefonnummer und die E-Mail-Adresse als weitere Kontaktdaten gemäß § 9 IfSG.</w:t>
      </w:r>
    </w:p>
    <w:p>
      <w:pPr>
        <w:jc w:val="both"/>
      </w:pPr>
    </w:p>
    <w:p>
      <w:pPr>
        <w:jc w:val="both"/>
        <w:outlineLvl w:val="0"/>
        <w:rPr>
          <w:b/>
          <w:bCs/>
        </w:rPr>
      </w:pPr>
      <w:r>
        <w:rPr>
          <w:b/>
          <w:bCs/>
        </w:rPr>
        <w:t>Zu Nr. 5.:</w:t>
      </w:r>
    </w:p>
    <w:p>
      <w:pPr>
        <w:jc w:val="both"/>
      </w:pPr>
      <w:r>
        <w:t xml:space="preserve">Mit den Regelungen wird erreicht, dass eine notwendige medizinische Behandlung oder ein Rettungstransport möglich ist. Gleichzeitig wird aber auch ein ausreichender Schutz Dritter vor einer Infektion sichergestellt. Außerdem ist es erforderlich, dass auch minderjährige </w:t>
      </w:r>
      <w:r>
        <w:lastRenderedPageBreak/>
        <w:t>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Bei positivem Ergebnis des PCR-Test muss die Absonderung gemäß den Regelungen für positiv getestete Personen fortgesetzt werden. </w:t>
      </w:r>
    </w:p>
    <w:p>
      <w:pPr>
        <w:jc w:val="both"/>
      </w:pPr>
    </w:p>
    <w:p>
      <w:pPr>
        <w:jc w:val="both"/>
      </w:pPr>
      <w:r>
        <w:t xml:space="preserve">Bei positiv getesteten Personen endet die Absonderung grundsätzlich nach 5 Tagen, wenn am Ende der Frist in den letzten 48 Stunden keine Symptome auftraten. </w:t>
      </w:r>
    </w:p>
    <w:p>
      <w:pPr>
        <w:jc w:val="both"/>
      </w:pPr>
      <w:r>
        <w:t>Zur Beendigung der Absonderung nach 10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vorverlegt werden, d. h. der erste volle Tag wäre der Sonntag vor dem Test. Die Absonderung endet mit Ablauf des Donnerstags.</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weitere fünf Tage beschränkt. Hier gilt es bei besonderen Patientengruppen, wie z. B. immunsupprimierten Personen, eine dauerhafte Absonderung zu vermeiden. </w:t>
      </w:r>
    </w:p>
    <w:p>
      <w:pPr>
        <w:jc w:val="both"/>
      </w:pPr>
    </w:p>
    <w:p>
      <w:pPr>
        <w:jc w:val="both"/>
        <w:outlineLvl w:val="0"/>
        <w:rPr>
          <w:b/>
          <w:bCs/>
        </w:rPr>
      </w:pPr>
      <w:r>
        <w:rPr>
          <w:b/>
          <w:bCs/>
        </w:rPr>
        <w:t>Zu Nr. 7:</w:t>
      </w:r>
    </w:p>
    <w:p>
      <w:pPr>
        <w:jc w:val="both"/>
      </w:pPr>
      <w:r>
        <w:t xml:space="preserve">Eine Zuwiderhandlung gegen diese Allgemeinverfügung kann nach § 73 Abs. 1a Nr. 6 </w:t>
      </w:r>
      <w:proofErr w:type="spellStart"/>
      <w:r>
        <w:t>i.V.m</w:t>
      </w:r>
      <w:proofErr w:type="spellEnd"/>
      <w:r>
        <w:t>.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pPr>
    </w:p>
    <w:p>
      <w:pPr>
        <w:jc w:val="both"/>
      </w:pPr>
    </w:p>
    <w:p>
      <w:pPr>
        <w:jc w:val="both"/>
      </w:pPr>
    </w:p>
    <w:p>
      <w:pPr>
        <w:jc w:val="both"/>
      </w:pPr>
    </w:p>
    <w:p>
      <w:pPr>
        <w:jc w:val="both"/>
      </w:pPr>
    </w:p>
    <w:p>
      <w:pPr>
        <w:jc w:val="both"/>
      </w:pPr>
    </w:p>
    <w:p>
      <w:pPr>
        <w:jc w:val="both"/>
      </w:pPr>
    </w:p>
    <w:p>
      <w:pPr>
        <w:jc w:val="both"/>
        <w:rPr>
          <w:b/>
        </w:rPr>
      </w:pPr>
      <w:r>
        <w:rPr>
          <w:b/>
        </w:rPr>
        <w:lastRenderedPageBreak/>
        <w:t>Zu Nr. 8:</w:t>
      </w:r>
    </w:p>
    <w:p>
      <w:pPr>
        <w:jc w:val="both"/>
      </w:pPr>
      <w:r>
        <w:t xml:space="preserve">Die Vorschrift regelt das Inkrafttreten sowie die Befristung der Allgemeinverfügung. Die Allgemeinverfügung gilt zunächst vom </w:t>
      </w:r>
      <w:r>
        <w:rPr>
          <w:b/>
        </w:rPr>
        <w:t>25. April 2022</w:t>
      </w:r>
      <w:r>
        <w:t xml:space="preserve"> bis einschließlich </w:t>
      </w:r>
      <w:r>
        <w:rPr>
          <w:b/>
        </w:rPr>
        <w:t>29. Mai 2022</w:t>
      </w:r>
      <w:r>
        <w:t xml:space="preserve"> und ist gemäß § 28 Abs. 3 IfSG in Verbindung mit § 16 Abs. 8 IfSG kraft Gesetzes sofort vollziehbar.</w:t>
      </w: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jc w:val="both"/>
      </w:pPr>
    </w:p>
    <w:p>
      <w:pPr>
        <w:jc w:val="both"/>
      </w:pPr>
      <w:r>
        <w:t>Chemnitz, den 20.04.2022</w:t>
      </w:r>
    </w:p>
    <w:p>
      <w:pPr>
        <w:jc w:val="both"/>
      </w:pPr>
    </w:p>
    <w:p>
      <w:pPr>
        <w:jc w:val="both"/>
      </w:pPr>
    </w:p>
    <w:p>
      <w:pPr>
        <w:jc w:val="both"/>
      </w:pPr>
      <w:r>
        <w:t xml:space="preserve">Dr. Holger </w:t>
      </w:r>
      <w:proofErr w:type="spellStart"/>
      <w:r>
        <w:t>Spalteholz</w:t>
      </w:r>
      <w:proofErr w:type="spellEnd"/>
    </w:p>
    <w:p>
      <w:pPr>
        <w:jc w:val="both"/>
      </w:pPr>
      <w:proofErr w:type="spellStart"/>
      <w:r>
        <w:t>amt</w:t>
      </w:r>
      <w:proofErr w:type="spellEnd"/>
      <w:r>
        <w:t>. Leiter Gesundheitsamt</w:t>
      </w:r>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5"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1"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5"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2"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5"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29"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3"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6"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9"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4"/>
  </w:num>
  <w:num w:numId="3">
    <w:abstractNumId w:val="4"/>
  </w:num>
  <w:num w:numId="4">
    <w:abstractNumId w:val="33"/>
  </w:num>
  <w:num w:numId="5">
    <w:abstractNumId w:val="2"/>
  </w:num>
  <w:num w:numId="6">
    <w:abstractNumId w:val="36"/>
  </w:num>
  <w:num w:numId="7">
    <w:abstractNumId w:val="25"/>
  </w:num>
  <w:num w:numId="8">
    <w:abstractNumId w:val="21"/>
  </w:num>
  <w:num w:numId="9">
    <w:abstractNumId w:val="39"/>
  </w:num>
  <w:num w:numId="10">
    <w:abstractNumId w:val="10"/>
  </w:num>
  <w:num w:numId="11">
    <w:abstractNumId w:val="18"/>
  </w:num>
  <w:num w:numId="12">
    <w:abstractNumId w:val="23"/>
  </w:num>
  <w:num w:numId="13">
    <w:abstractNumId w:val="5"/>
  </w:num>
  <w:num w:numId="14">
    <w:abstractNumId w:val="8"/>
  </w:num>
  <w:num w:numId="15">
    <w:abstractNumId w:val="34"/>
  </w:num>
  <w:num w:numId="16">
    <w:abstractNumId w:val="30"/>
  </w:num>
  <w:num w:numId="17">
    <w:abstractNumId w:val="29"/>
  </w:num>
  <w:num w:numId="18">
    <w:abstractNumId w:val="27"/>
  </w:num>
  <w:num w:numId="19">
    <w:abstractNumId w:val="31"/>
  </w:num>
  <w:num w:numId="20">
    <w:abstractNumId w:val="37"/>
  </w:num>
  <w:num w:numId="21">
    <w:abstractNumId w:val="20"/>
  </w:num>
  <w:num w:numId="22">
    <w:abstractNumId w:val="22"/>
  </w:num>
  <w:num w:numId="23">
    <w:abstractNumId w:val="26"/>
  </w:num>
  <w:num w:numId="24">
    <w:abstractNumId w:val="16"/>
  </w:num>
  <w:num w:numId="25">
    <w:abstractNumId w:val="12"/>
  </w:num>
  <w:num w:numId="26">
    <w:abstractNumId w:val="0"/>
  </w:num>
  <w:num w:numId="27">
    <w:abstractNumId w:val="11"/>
  </w:num>
  <w:num w:numId="28">
    <w:abstractNumId w:val="17"/>
  </w:num>
  <w:num w:numId="29">
    <w:abstractNumId w:val="15"/>
  </w:num>
  <w:num w:numId="30">
    <w:abstractNumId w:val="3"/>
  </w:num>
  <w:num w:numId="31">
    <w:abstractNumId w:val="19"/>
  </w:num>
  <w:num w:numId="32">
    <w:abstractNumId w:val="1"/>
  </w:num>
  <w:num w:numId="33">
    <w:abstractNumId w:val="13"/>
  </w:num>
  <w:num w:numId="34">
    <w:abstractNumId w:val="32"/>
  </w:num>
  <w:num w:numId="35">
    <w:abstractNumId w:val="7"/>
  </w:num>
  <w:num w:numId="36">
    <w:abstractNumId w:val="6"/>
  </w:num>
  <w:num w:numId="37">
    <w:abstractNumId w:val="38"/>
  </w:num>
  <w:num w:numId="38">
    <w:abstractNumId w:val="24"/>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B8CC7-8A53-4EA6-9D61-00D906B6FC9B}"/>
    <w:docVar w:name="dgnword-eventsink" w:val="52756660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4425-B980-4364-AC8D-0BA35E71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3699</Words>
  <Characters>23304</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Bluemich Nils</cp:lastModifiedBy>
  <cp:revision>128</cp:revision>
  <cp:lastPrinted>2022-04-14T08:46:00Z</cp:lastPrinted>
  <dcterms:created xsi:type="dcterms:W3CDTF">2022-01-17T08:25:00Z</dcterms:created>
  <dcterms:modified xsi:type="dcterms:W3CDTF">2022-04-20T13:42:00Z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